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593A" w14:textId="77777777" w:rsidR="001F0763" w:rsidRDefault="001F0763" w:rsidP="00CA3DBA">
      <w:pPr>
        <w:jc w:val="center"/>
        <w:textAlignment w:val="baseline"/>
        <w:rPr>
          <w:rFonts w:eastAsia="Times New Roman" w:cs="Arial"/>
          <w:b/>
          <w:bCs/>
          <w:sz w:val="28"/>
          <w:szCs w:val="28"/>
          <w:lang w:eastAsia="fr-CA"/>
        </w:rPr>
      </w:pPr>
      <w:r w:rsidRPr="001F0763">
        <w:rPr>
          <w:rFonts w:eastAsia="Times New Roman" w:cs="Arial"/>
          <w:b/>
          <w:bCs/>
          <w:sz w:val="28"/>
          <w:szCs w:val="28"/>
          <w:lang w:eastAsia="fr-CA"/>
        </w:rPr>
        <w:t>Renouvellement ASSUREQ au 1</w:t>
      </w:r>
      <w:r w:rsidRPr="001F0763">
        <w:rPr>
          <w:rFonts w:eastAsia="Times New Roman" w:cs="Arial"/>
          <w:b/>
          <w:bCs/>
          <w:sz w:val="28"/>
          <w:szCs w:val="28"/>
          <w:vertAlign w:val="superscript"/>
          <w:lang w:eastAsia="fr-CA"/>
        </w:rPr>
        <w:t>er</w:t>
      </w:r>
      <w:r w:rsidRPr="001F0763">
        <w:rPr>
          <w:rFonts w:eastAsia="Times New Roman" w:cs="Arial"/>
          <w:b/>
          <w:bCs/>
          <w:sz w:val="28"/>
          <w:szCs w:val="28"/>
          <w:lang w:eastAsia="fr-CA"/>
        </w:rPr>
        <w:t xml:space="preserve"> janvier 2024</w:t>
      </w:r>
    </w:p>
    <w:p w14:paraId="109C8BDB" w14:textId="532EE1C2" w:rsidR="00CA3DBA" w:rsidRPr="001F0763" w:rsidRDefault="008F622D" w:rsidP="001F0763">
      <w:pPr>
        <w:jc w:val="center"/>
        <w:textAlignment w:val="baseline"/>
        <w:rPr>
          <w:rFonts w:eastAsia="Times New Roman" w:cs="Arial"/>
          <w:b/>
          <w:bCs/>
          <w:sz w:val="28"/>
          <w:szCs w:val="28"/>
          <w:lang w:eastAsia="fr-CA"/>
        </w:rPr>
      </w:pPr>
      <w:r>
        <w:rPr>
          <w:rFonts w:eastAsia="Times New Roman" w:cs="Arial"/>
          <w:b/>
          <w:bCs/>
          <w:color w:val="FF0000"/>
          <w:sz w:val="28"/>
          <w:szCs w:val="28"/>
          <w:lang w:eastAsia="fr-CA"/>
        </w:rPr>
        <w:t>Corrigé</w:t>
      </w:r>
      <w:r w:rsidR="00CA3DBA">
        <w:rPr>
          <w:rFonts w:eastAsia="Times New Roman" w:cs="Arial"/>
          <w:b/>
          <w:bCs/>
          <w:sz w:val="28"/>
          <w:szCs w:val="28"/>
          <w:lang w:eastAsia="fr-CA"/>
        </w:rPr>
        <w:t xml:space="preserve"> </w:t>
      </w:r>
    </w:p>
    <w:p w14:paraId="4BCB02AC" w14:textId="60A7B86C" w:rsidR="001F0763" w:rsidRPr="001F0763" w:rsidRDefault="001F0763" w:rsidP="001F0763">
      <w:pPr>
        <w:textAlignment w:val="baseline"/>
        <w:rPr>
          <w:rFonts w:eastAsia="Times New Roman" w:cs="Arial"/>
          <w:b/>
          <w:bCs/>
          <w:sz w:val="28"/>
          <w:szCs w:val="28"/>
          <w:lang w:eastAsia="fr-CA"/>
        </w:rPr>
      </w:pPr>
      <w:r w:rsidRPr="001F0763">
        <w:rPr>
          <w:rFonts w:eastAsia="Times New Roman" w:cs="Arial"/>
          <w:b/>
          <w:bCs/>
          <w:sz w:val="28"/>
          <w:szCs w:val="28"/>
          <w:lang w:eastAsia="fr-CA"/>
        </w:rPr>
        <w:t>Régime d’assurance maladie</w:t>
      </w:r>
    </w:p>
    <w:p w14:paraId="46325B86" w14:textId="77777777" w:rsidR="001F0763" w:rsidRPr="0054322B" w:rsidRDefault="001F0763" w:rsidP="001F0763">
      <w:pPr>
        <w:textAlignment w:val="baseline"/>
        <w:rPr>
          <w:rFonts w:ascii="Segoe UI" w:eastAsia="Times New Roman" w:hAnsi="Segoe UI" w:cs="Segoe UI"/>
          <w:sz w:val="18"/>
          <w:szCs w:val="18"/>
          <w:lang w:eastAsia="fr-CA"/>
        </w:rPr>
      </w:pPr>
      <w:r w:rsidRPr="0054322B">
        <w:rPr>
          <w:rFonts w:eastAsia="Times New Roman" w:cs="Arial"/>
          <w:b/>
          <w:bCs/>
          <w:szCs w:val="24"/>
          <w:lang w:eastAsia="fr-CA"/>
        </w:rPr>
        <w:t> </w:t>
      </w:r>
      <w:r w:rsidRPr="0054322B">
        <w:rPr>
          <w:rFonts w:eastAsia="Times New Roman" w:cs="Arial"/>
          <w:szCs w:val="24"/>
          <w:lang w:eastAsia="fr-CA"/>
        </w:rPr>
        <w:t>  </w:t>
      </w:r>
    </w:p>
    <w:p w14:paraId="14EDF1C2" w14:textId="758903B6" w:rsidR="001F0763" w:rsidRPr="001B5FEB" w:rsidRDefault="001F0763" w:rsidP="001F0763">
      <w:pPr>
        <w:textAlignment w:val="baseline"/>
        <w:rPr>
          <w:rFonts w:ascii="Segoe UI" w:eastAsia="Times New Roman" w:hAnsi="Segoe UI" w:cs="Segoe UI"/>
          <w:sz w:val="18"/>
          <w:szCs w:val="18"/>
          <w:lang w:eastAsia="fr-CA"/>
        </w:rPr>
      </w:pPr>
      <w:r w:rsidRPr="0054322B">
        <w:rPr>
          <w:rFonts w:eastAsia="Times New Roman" w:cs="Arial"/>
          <w:szCs w:val="24"/>
          <w:lang w:eastAsia="fr-CA"/>
        </w:rPr>
        <w:t xml:space="preserve">Différents facteurs sont pris en compte par les actuaires lors du calcul de la prime en assurance maladie, tel que l’expérience du groupe, l’inflation, le contexte économique et les frais d’administration. </w:t>
      </w:r>
      <w:r>
        <w:rPr>
          <w:rFonts w:eastAsia="Times New Roman" w:cs="Arial"/>
          <w:szCs w:val="24"/>
          <w:lang w:eastAsia="fr-CA"/>
        </w:rPr>
        <w:t>En tenant compte de</w:t>
      </w:r>
      <w:r w:rsidRPr="0054322B">
        <w:rPr>
          <w:rFonts w:eastAsia="Times New Roman" w:cs="Arial"/>
          <w:szCs w:val="24"/>
          <w:lang w:eastAsia="fr-CA"/>
        </w:rPr>
        <w:t xml:space="preserve"> tous ces éléments</w:t>
      </w:r>
      <w:r>
        <w:rPr>
          <w:rFonts w:eastAsia="Times New Roman" w:cs="Arial"/>
          <w:szCs w:val="24"/>
          <w:lang w:eastAsia="fr-CA"/>
        </w:rPr>
        <w:t>, les primes ont subi une modification à la hausse de 3,9% (</w:t>
      </w:r>
      <w:proofErr w:type="gramStart"/>
      <w:r>
        <w:rPr>
          <w:rFonts w:eastAsia="Times New Roman" w:cs="Arial"/>
          <w:szCs w:val="24"/>
          <w:lang w:eastAsia="fr-CA"/>
        </w:rPr>
        <w:t>augmentation variant</w:t>
      </w:r>
      <w:proofErr w:type="gramEnd"/>
      <w:r>
        <w:rPr>
          <w:rFonts w:eastAsia="Times New Roman" w:cs="Arial"/>
          <w:szCs w:val="24"/>
          <w:lang w:eastAsia="fr-CA"/>
        </w:rPr>
        <w:t xml:space="preserve"> entre 4,06$ et 6,42$ selon la protection) cette année. </w:t>
      </w:r>
    </w:p>
    <w:p w14:paraId="07605D4C" w14:textId="77777777" w:rsidR="001F0763" w:rsidRDefault="001F0763" w:rsidP="001F0763">
      <w:pPr>
        <w:textAlignment w:val="baseline"/>
        <w:rPr>
          <w:rFonts w:eastAsia="Times New Roman" w:cs="Arial"/>
          <w:szCs w:val="24"/>
          <w:lang w:eastAsia="fr-CA"/>
        </w:rPr>
      </w:pPr>
    </w:p>
    <w:p w14:paraId="16E7DA78" w14:textId="77777777" w:rsidR="001F0763" w:rsidRDefault="001F0763" w:rsidP="001F0763">
      <w:pPr>
        <w:textAlignment w:val="baseline"/>
        <w:rPr>
          <w:rFonts w:eastAsia="Times New Roman" w:cs="Arial"/>
          <w:b/>
          <w:bCs/>
          <w:i/>
          <w:iCs/>
          <w:szCs w:val="24"/>
          <w:lang w:eastAsia="fr-CA"/>
        </w:rPr>
      </w:pPr>
      <w:r>
        <w:rPr>
          <w:rFonts w:eastAsia="Times New Roman" w:cs="Arial"/>
          <w:b/>
          <w:bCs/>
          <w:szCs w:val="24"/>
          <w:lang w:eastAsia="fr-CA"/>
        </w:rPr>
        <w:t xml:space="preserve">Remboursement maximal augmenté pour </w:t>
      </w:r>
      <w:r w:rsidRPr="001B5FEB">
        <w:rPr>
          <w:rFonts w:eastAsia="Times New Roman" w:cs="Arial"/>
          <w:b/>
          <w:bCs/>
          <w:szCs w:val="24"/>
          <w:lang w:eastAsia="fr-CA"/>
        </w:rPr>
        <w:t xml:space="preserve">la garantie </w:t>
      </w:r>
      <w:r w:rsidRPr="001B5FEB">
        <w:rPr>
          <w:rFonts w:eastAsia="Times New Roman" w:cs="Arial"/>
          <w:b/>
          <w:bCs/>
          <w:i/>
          <w:iCs/>
          <w:szCs w:val="24"/>
          <w:lang w:eastAsia="fr-CA"/>
        </w:rPr>
        <w:t>Injections sclérosantes</w:t>
      </w:r>
    </w:p>
    <w:p w14:paraId="57B4E75D" w14:textId="77777777" w:rsidR="001F0763" w:rsidRDefault="001F0763" w:rsidP="001F0763">
      <w:pPr>
        <w:textAlignment w:val="baseline"/>
        <w:rPr>
          <w:rFonts w:eastAsia="Times New Roman" w:cs="Arial"/>
          <w:b/>
          <w:bCs/>
          <w:i/>
          <w:iCs/>
          <w:szCs w:val="24"/>
          <w:lang w:eastAsia="fr-CA"/>
        </w:rPr>
      </w:pPr>
    </w:p>
    <w:p w14:paraId="521CB659" w14:textId="77777777" w:rsidR="001F0763" w:rsidRDefault="001F0763" w:rsidP="001F0763">
      <w:pPr>
        <w:textAlignment w:val="baseline"/>
        <w:rPr>
          <w:rFonts w:eastAsia="Times New Roman" w:cs="Arial"/>
          <w:szCs w:val="24"/>
          <w:lang w:eastAsia="fr-CA"/>
        </w:rPr>
      </w:pPr>
      <w:r>
        <w:rPr>
          <w:rFonts w:eastAsia="Times New Roman" w:cs="Arial"/>
          <w:szCs w:val="24"/>
          <w:lang w:eastAsia="fr-CA"/>
        </w:rPr>
        <w:t xml:space="preserve">Les régimes Santé et Santé Plus qui couvrent les frais pour injections sclérosantes ont été bonifiés afin de permettre un meilleur remboursement, le montant maximal remboursable passant ainsi de 26,25$ à 35$ par jour. </w:t>
      </w:r>
    </w:p>
    <w:p w14:paraId="328C4CD3" w14:textId="302EEEE7" w:rsidR="001F0763" w:rsidRPr="0054322B" w:rsidRDefault="001F0763" w:rsidP="001F0763">
      <w:pPr>
        <w:textAlignment w:val="baseline"/>
        <w:rPr>
          <w:rFonts w:ascii="Segoe UI" w:eastAsia="Times New Roman" w:hAnsi="Segoe UI" w:cs="Segoe UI"/>
          <w:sz w:val="18"/>
          <w:szCs w:val="18"/>
          <w:lang w:eastAsia="fr-CA"/>
        </w:rPr>
      </w:pP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1800"/>
        <w:gridCol w:w="1680"/>
        <w:gridCol w:w="1030"/>
      </w:tblGrid>
      <w:tr w:rsidR="001F0763" w:rsidRPr="0054322B" w14:paraId="32E37ED0" w14:textId="77777777" w:rsidTr="008E7422">
        <w:trPr>
          <w:trHeight w:val="450"/>
        </w:trPr>
        <w:tc>
          <w:tcPr>
            <w:tcW w:w="79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B6C01FC"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b/>
                <w:bCs/>
                <w:szCs w:val="24"/>
                <w:lang w:eastAsia="fr-CA"/>
              </w:rPr>
              <w:t>Régime Assurance maladie</w:t>
            </w:r>
            <w:r w:rsidRPr="0054322B">
              <w:rPr>
                <w:rFonts w:eastAsia="Times New Roman" w:cs="Arial"/>
                <w:szCs w:val="24"/>
                <w:lang w:eastAsia="fr-CA"/>
              </w:rPr>
              <w:t>  </w:t>
            </w:r>
          </w:p>
          <w:p w14:paraId="0994F764"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b/>
                <w:bCs/>
                <w:szCs w:val="24"/>
                <w:lang w:eastAsia="fr-CA"/>
              </w:rPr>
              <w:t>Prime mensuelle 202</w:t>
            </w:r>
            <w:r>
              <w:rPr>
                <w:rFonts w:eastAsia="Times New Roman" w:cs="Arial"/>
                <w:b/>
                <w:bCs/>
                <w:szCs w:val="24"/>
                <w:lang w:eastAsia="fr-CA"/>
              </w:rPr>
              <w:t>4</w:t>
            </w:r>
            <w:r w:rsidRPr="0054322B">
              <w:rPr>
                <w:rFonts w:eastAsia="Times New Roman" w:cs="Arial"/>
                <w:szCs w:val="24"/>
                <w:lang w:eastAsia="fr-CA"/>
              </w:rPr>
              <w:t>  </w:t>
            </w:r>
          </w:p>
        </w:tc>
      </w:tr>
      <w:tr w:rsidR="001F0763" w:rsidRPr="0054322B" w14:paraId="2070E7C4" w14:textId="77777777" w:rsidTr="008E7422">
        <w:trPr>
          <w:trHeight w:val="390"/>
        </w:trPr>
        <w:tc>
          <w:tcPr>
            <w:tcW w:w="34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84AFFA"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Régime d’assurance maladie  </w:t>
            </w:r>
          </w:p>
        </w:tc>
        <w:tc>
          <w:tcPr>
            <w:tcW w:w="45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95FEF6C"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Statut de protection  </w:t>
            </w:r>
          </w:p>
        </w:tc>
      </w:tr>
      <w:tr w:rsidR="001F0763" w:rsidRPr="0054322B" w14:paraId="4DB06C13" w14:textId="77777777" w:rsidTr="008E742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80267" w14:textId="77777777" w:rsidR="001F0763" w:rsidRPr="0054322B" w:rsidRDefault="001F0763" w:rsidP="008E7422">
            <w:pPr>
              <w:jc w:val="left"/>
              <w:rPr>
                <w:rFonts w:ascii="Times New Roman" w:eastAsia="Times New Roman" w:hAnsi="Times New Roman" w:cs="Times New Roman"/>
                <w:szCs w:val="24"/>
                <w:lang w:eastAsia="fr-CA"/>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0E5BC"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Individuel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A3F9A"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Monoparental  </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6DCC5"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Familial  </w:t>
            </w:r>
          </w:p>
        </w:tc>
      </w:tr>
      <w:tr w:rsidR="001F0763" w:rsidRPr="0054322B" w14:paraId="37CC177F" w14:textId="77777777" w:rsidTr="008E7422">
        <w:trPr>
          <w:trHeight w:val="390"/>
        </w:trPr>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EEE12"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Santé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FE1DD" w14:textId="4CCBB14D"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2</w:t>
            </w:r>
            <w:r w:rsidR="00CA3DBA" w:rsidRPr="00CA3DBA">
              <w:rPr>
                <w:rFonts w:eastAsia="Times New Roman" w:cs="Arial"/>
                <w:color w:val="FF0000"/>
                <w:szCs w:val="24"/>
                <w:lang w:eastAsia="fr-CA"/>
              </w:rPr>
              <w:t>5</w:t>
            </w:r>
            <w:r w:rsidRPr="00CA3DBA">
              <w:rPr>
                <w:rFonts w:eastAsia="Times New Roman" w:cs="Arial"/>
                <w:color w:val="FF0000"/>
                <w:szCs w:val="24"/>
                <w:lang w:eastAsia="fr-CA"/>
              </w:rPr>
              <w:t>,32 $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88D0A" w14:textId="4EDEE707"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3</w:t>
            </w:r>
            <w:r w:rsidR="00CA3DBA" w:rsidRPr="00CA3DBA">
              <w:rPr>
                <w:rFonts w:eastAsia="Times New Roman" w:cs="Arial"/>
                <w:color w:val="FF0000"/>
                <w:szCs w:val="24"/>
                <w:lang w:eastAsia="fr-CA"/>
              </w:rPr>
              <w:t>0</w:t>
            </w:r>
            <w:r w:rsidRPr="00CA3DBA">
              <w:rPr>
                <w:rFonts w:eastAsia="Times New Roman" w:cs="Arial"/>
                <w:color w:val="FF0000"/>
                <w:szCs w:val="24"/>
                <w:lang w:eastAsia="fr-CA"/>
              </w:rPr>
              <w:t>,52 $  </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7837D" w14:textId="0B7DF114" w:rsidR="001F0763" w:rsidRPr="00CA3DBA" w:rsidRDefault="00CA3DBA"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48</w:t>
            </w:r>
            <w:r w:rsidR="001F0763" w:rsidRPr="00CA3DBA">
              <w:rPr>
                <w:rFonts w:eastAsia="Times New Roman" w:cs="Arial"/>
                <w:color w:val="FF0000"/>
                <w:szCs w:val="24"/>
                <w:lang w:eastAsia="fr-CA"/>
              </w:rPr>
              <w:t>,44 $  </w:t>
            </w:r>
          </w:p>
        </w:tc>
      </w:tr>
      <w:tr w:rsidR="001F0763" w:rsidRPr="0054322B" w14:paraId="72B9872B" w14:textId="77777777" w:rsidTr="008E7422">
        <w:trPr>
          <w:trHeight w:val="390"/>
        </w:trPr>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E28BF"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Santé Plus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F769" w14:textId="03FF8110" w:rsidR="001F0763" w:rsidRPr="00CA3DBA" w:rsidRDefault="00CA3DBA"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47</w:t>
            </w:r>
            <w:r w:rsidR="001F0763" w:rsidRPr="00CA3DBA">
              <w:rPr>
                <w:rFonts w:eastAsia="Times New Roman" w:cs="Arial"/>
                <w:color w:val="FF0000"/>
                <w:szCs w:val="24"/>
                <w:lang w:eastAsia="fr-CA"/>
              </w:rPr>
              <w:t>,14 $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950AF" w14:textId="314310A5"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5</w:t>
            </w:r>
            <w:r w:rsidR="00CA3DBA" w:rsidRPr="00CA3DBA">
              <w:rPr>
                <w:rFonts w:eastAsia="Times New Roman" w:cs="Arial"/>
                <w:color w:val="FF0000"/>
                <w:szCs w:val="24"/>
                <w:lang w:eastAsia="fr-CA"/>
              </w:rPr>
              <w:t>6</w:t>
            </w:r>
            <w:r w:rsidRPr="00CA3DBA">
              <w:rPr>
                <w:rFonts w:eastAsia="Times New Roman" w:cs="Arial"/>
                <w:color w:val="FF0000"/>
                <w:szCs w:val="24"/>
                <w:lang w:eastAsia="fr-CA"/>
              </w:rPr>
              <w:t>,35 $  </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925BC" w14:textId="6DD5AC8D" w:rsidR="001F0763" w:rsidRPr="00CA3DBA" w:rsidRDefault="00CA3DBA"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88</w:t>
            </w:r>
            <w:r w:rsidR="001F0763" w:rsidRPr="00CA3DBA">
              <w:rPr>
                <w:rFonts w:eastAsia="Times New Roman" w:cs="Arial"/>
                <w:color w:val="FF0000"/>
                <w:szCs w:val="24"/>
                <w:lang w:eastAsia="fr-CA"/>
              </w:rPr>
              <w:t>,09 $  </w:t>
            </w:r>
          </w:p>
        </w:tc>
      </w:tr>
    </w:tbl>
    <w:p w14:paraId="52836FB6" w14:textId="77777777" w:rsidR="001F0763" w:rsidRPr="0054322B" w:rsidRDefault="001F0763" w:rsidP="001F0763">
      <w:pPr>
        <w:textAlignment w:val="baseline"/>
        <w:rPr>
          <w:rFonts w:ascii="Segoe UI" w:eastAsia="Times New Roman" w:hAnsi="Segoe UI" w:cs="Segoe UI"/>
          <w:sz w:val="18"/>
          <w:szCs w:val="18"/>
          <w:lang w:eastAsia="fr-CA"/>
        </w:rPr>
      </w:pPr>
      <w:r w:rsidRPr="0054322B">
        <w:rPr>
          <w:rFonts w:eastAsia="Times New Roman" w:cs="Arial"/>
          <w:sz w:val="18"/>
          <w:szCs w:val="18"/>
          <w:lang w:eastAsia="fr-CA"/>
        </w:rPr>
        <w:t>La taxe de vente de 9% doit être ajoutée à ces montants  </w:t>
      </w:r>
    </w:p>
    <w:p w14:paraId="176172F6" w14:textId="77777777" w:rsidR="001F0763" w:rsidRPr="0054322B" w:rsidRDefault="001F0763" w:rsidP="001F0763">
      <w:pPr>
        <w:textAlignment w:val="baseline"/>
        <w:rPr>
          <w:rFonts w:ascii="Segoe UI" w:eastAsia="Times New Roman" w:hAnsi="Segoe UI" w:cs="Segoe UI"/>
          <w:sz w:val="18"/>
          <w:szCs w:val="18"/>
          <w:lang w:eastAsia="fr-CA"/>
        </w:rPr>
      </w:pPr>
      <w:r w:rsidRPr="0054322B">
        <w:rPr>
          <w:rFonts w:eastAsia="Times New Roman" w:cs="Arial"/>
          <w:szCs w:val="24"/>
          <w:lang w:eastAsia="fr-CA"/>
        </w:rPr>
        <w:t>  </w:t>
      </w:r>
    </w:p>
    <w:p w14:paraId="28D2E263" w14:textId="74975DD9" w:rsidR="001F0763" w:rsidRPr="001F0763" w:rsidRDefault="001F0763" w:rsidP="001F0763">
      <w:pPr>
        <w:textAlignment w:val="baseline"/>
        <w:rPr>
          <w:rFonts w:ascii="Segoe UI" w:eastAsia="Times New Roman" w:hAnsi="Segoe UI" w:cs="Segoe UI"/>
          <w:sz w:val="18"/>
          <w:szCs w:val="18"/>
          <w:lang w:eastAsia="fr-CA"/>
        </w:rPr>
      </w:pPr>
      <w:r w:rsidRPr="0054322B">
        <w:rPr>
          <w:rFonts w:eastAsia="Times New Roman" w:cs="Arial"/>
          <w:szCs w:val="24"/>
          <w:lang w:eastAsia="fr-CA"/>
        </w:rPr>
        <w:t>  </w:t>
      </w:r>
      <w:r w:rsidRPr="001F0763">
        <w:rPr>
          <w:rFonts w:eastAsia="Times New Roman" w:cs="Arial"/>
          <w:b/>
          <w:bCs/>
          <w:sz w:val="28"/>
          <w:szCs w:val="28"/>
          <w:lang w:eastAsia="fr-CA"/>
        </w:rPr>
        <w:t>Régime d’assurance vie</w:t>
      </w:r>
      <w:r w:rsidRPr="001F0763">
        <w:rPr>
          <w:rFonts w:eastAsia="Times New Roman" w:cs="Arial"/>
          <w:sz w:val="28"/>
          <w:szCs w:val="28"/>
          <w:lang w:eastAsia="fr-CA"/>
        </w:rPr>
        <w:t>  </w:t>
      </w:r>
    </w:p>
    <w:p w14:paraId="3D43BBB8" w14:textId="77777777" w:rsidR="001F0763" w:rsidRPr="0054322B" w:rsidRDefault="001F0763" w:rsidP="001F0763">
      <w:pPr>
        <w:textAlignment w:val="baseline"/>
        <w:rPr>
          <w:rFonts w:ascii="Segoe UI" w:eastAsia="Times New Roman" w:hAnsi="Segoe UI" w:cs="Segoe UI"/>
          <w:sz w:val="18"/>
          <w:szCs w:val="18"/>
          <w:lang w:eastAsia="fr-CA"/>
        </w:rPr>
      </w:pPr>
      <w:r w:rsidRPr="0054322B">
        <w:rPr>
          <w:rFonts w:ascii="Segoe UI" w:eastAsia="Times New Roman" w:hAnsi="Segoe UI" w:cs="Segoe UI"/>
          <w:sz w:val="18"/>
          <w:szCs w:val="18"/>
          <w:lang w:eastAsia="fr-CA"/>
        </w:rPr>
        <w:t> </w:t>
      </w:r>
    </w:p>
    <w:p w14:paraId="4C36FD11" w14:textId="6DF84484" w:rsidR="001F0763" w:rsidRPr="0054322B" w:rsidRDefault="001F0763" w:rsidP="001F0763">
      <w:pPr>
        <w:textAlignment w:val="baseline"/>
        <w:rPr>
          <w:rFonts w:eastAsia="Times New Roman" w:cs="Arial"/>
          <w:szCs w:val="24"/>
          <w:lang w:eastAsia="fr-CA"/>
        </w:rPr>
      </w:pPr>
      <w:r>
        <w:rPr>
          <w:rFonts w:eastAsia="Times New Roman" w:cs="Arial"/>
          <w:szCs w:val="24"/>
          <w:lang w:eastAsia="fr-CA"/>
        </w:rPr>
        <w:t>Cette</w:t>
      </w:r>
      <w:r w:rsidRPr="0054322B">
        <w:rPr>
          <w:rFonts w:eastAsia="Times New Roman" w:cs="Arial"/>
          <w:szCs w:val="24"/>
          <w:lang w:eastAsia="fr-CA"/>
        </w:rPr>
        <w:t xml:space="preserve"> année</w:t>
      </w:r>
      <w:r>
        <w:rPr>
          <w:rFonts w:eastAsia="Times New Roman" w:cs="Arial"/>
          <w:szCs w:val="24"/>
          <w:lang w:eastAsia="fr-CA"/>
        </w:rPr>
        <w:t xml:space="preserve"> encore, on constate un nombre élevé de décès dans le groupe, ce qui entraine </w:t>
      </w:r>
      <w:r w:rsidRPr="0054322B">
        <w:rPr>
          <w:rFonts w:eastAsia="Times New Roman" w:cs="Arial"/>
          <w:szCs w:val="24"/>
          <w:lang w:eastAsia="fr-CA"/>
        </w:rPr>
        <w:t>une augmentation de la prime en assurance vie. En effet, la prime</w:t>
      </w:r>
      <w:r>
        <w:rPr>
          <w:rFonts w:eastAsia="Times New Roman" w:cs="Arial"/>
          <w:szCs w:val="24"/>
          <w:lang w:eastAsia="fr-CA"/>
        </w:rPr>
        <w:t xml:space="preserve"> subit une modification à la hausse de 5,7% (augmentation variant de 4,08$ à 6,46$ selon la protection).</w:t>
      </w:r>
      <w:r w:rsidRPr="0054322B">
        <w:rPr>
          <w:rFonts w:eastAsia="Times New Roman" w:cs="Arial"/>
          <w:szCs w:val="24"/>
          <w:lang w:eastAsia="fr-CA"/>
        </w:rPr>
        <w:t>  </w:t>
      </w:r>
    </w:p>
    <w:p w14:paraId="1707522D" w14:textId="77777777" w:rsidR="001F0763" w:rsidRPr="0054322B" w:rsidRDefault="001F0763" w:rsidP="001F0763">
      <w:pPr>
        <w:textAlignment w:val="baseline"/>
        <w:rPr>
          <w:rFonts w:ascii="Segoe UI" w:eastAsia="Times New Roman" w:hAnsi="Segoe UI" w:cs="Segoe UI"/>
          <w:sz w:val="18"/>
          <w:szCs w:val="18"/>
          <w:lang w:eastAsia="fr-CA"/>
        </w:rPr>
      </w:pPr>
      <w:r w:rsidRPr="0054322B">
        <w:rPr>
          <w:rFonts w:eastAsia="Times New Roman" w:cs="Arial"/>
          <w:szCs w:val="24"/>
          <w:lang w:eastAsia="fr-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035"/>
      </w:tblGrid>
      <w:tr w:rsidR="001F0763" w:rsidRPr="0054322B" w14:paraId="2A3BEE4E" w14:textId="77777777" w:rsidTr="008E7422">
        <w:trPr>
          <w:trHeight w:val="60"/>
        </w:trPr>
        <w:tc>
          <w:tcPr>
            <w:tcW w:w="46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E83682"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b/>
                <w:bCs/>
                <w:szCs w:val="24"/>
                <w:lang w:eastAsia="fr-CA"/>
              </w:rPr>
              <w:t>Régime Assurance vie</w:t>
            </w:r>
            <w:r w:rsidRPr="0054322B">
              <w:rPr>
                <w:rFonts w:eastAsia="Times New Roman" w:cs="Arial"/>
                <w:szCs w:val="24"/>
                <w:lang w:eastAsia="fr-CA"/>
              </w:rPr>
              <w:t>  </w:t>
            </w:r>
          </w:p>
          <w:p w14:paraId="7D7FC881"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b/>
                <w:bCs/>
                <w:szCs w:val="24"/>
                <w:lang w:eastAsia="fr-CA"/>
              </w:rPr>
              <w:t>Prime mensuelle 202</w:t>
            </w:r>
            <w:r>
              <w:rPr>
                <w:rFonts w:eastAsia="Times New Roman" w:cs="Arial"/>
                <w:b/>
                <w:bCs/>
                <w:szCs w:val="24"/>
                <w:lang w:eastAsia="fr-CA"/>
              </w:rPr>
              <w:t>4</w:t>
            </w:r>
            <w:r w:rsidRPr="0054322B">
              <w:rPr>
                <w:rFonts w:eastAsia="Times New Roman" w:cs="Arial"/>
                <w:szCs w:val="24"/>
                <w:lang w:eastAsia="fr-CA"/>
              </w:rPr>
              <w:t>  </w:t>
            </w:r>
          </w:p>
        </w:tc>
      </w:tr>
      <w:tr w:rsidR="001F0763" w:rsidRPr="0054322B" w14:paraId="11490F81" w14:textId="77777777" w:rsidTr="008E7422">
        <w:trPr>
          <w:trHeight w:val="315"/>
        </w:trPr>
        <w:tc>
          <w:tcPr>
            <w:tcW w:w="463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58320079"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Choix 1  </w:t>
            </w:r>
          </w:p>
        </w:tc>
      </w:tr>
      <w:tr w:rsidR="001F0763" w:rsidRPr="0054322B" w14:paraId="2DDBEBEA"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490C5"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Individuel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2A54A" w14:textId="3889296E" w:rsidR="001F0763" w:rsidRPr="00CA3DBA" w:rsidRDefault="00CA3DBA"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19</w:t>
            </w:r>
            <w:r w:rsidR="001F0763" w:rsidRPr="00CA3DBA">
              <w:rPr>
                <w:rFonts w:eastAsia="Times New Roman" w:cs="Arial"/>
                <w:color w:val="FF0000"/>
                <w:szCs w:val="24"/>
                <w:lang w:eastAsia="fr-CA"/>
              </w:rPr>
              <w:t>,32 $  </w:t>
            </w:r>
          </w:p>
        </w:tc>
      </w:tr>
      <w:tr w:rsidR="001F0763" w:rsidRPr="0054322B" w14:paraId="6A1D31AE"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6365D"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Familial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07D21" w14:textId="0E113485"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3</w:t>
            </w:r>
            <w:r w:rsidR="00CA3DBA" w:rsidRPr="00CA3DBA">
              <w:rPr>
                <w:rFonts w:eastAsia="Times New Roman" w:cs="Arial"/>
                <w:color w:val="FF0000"/>
                <w:szCs w:val="24"/>
                <w:lang w:eastAsia="fr-CA"/>
              </w:rPr>
              <w:t>0</w:t>
            </w:r>
            <w:r w:rsidRPr="00CA3DBA">
              <w:rPr>
                <w:rFonts w:eastAsia="Times New Roman" w:cs="Arial"/>
                <w:color w:val="FF0000"/>
                <w:szCs w:val="24"/>
                <w:lang w:eastAsia="fr-CA"/>
              </w:rPr>
              <w:t>,32 $  </w:t>
            </w:r>
          </w:p>
        </w:tc>
      </w:tr>
      <w:tr w:rsidR="001F0763" w:rsidRPr="0054322B" w14:paraId="2D622BEC" w14:textId="77777777" w:rsidTr="008E7422">
        <w:trPr>
          <w:trHeight w:val="315"/>
        </w:trPr>
        <w:tc>
          <w:tcPr>
            <w:tcW w:w="463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7D07C01E"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Choix 2  </w:t>
            </w:r>
          </w:p>
        </w:tc>
      </w:tr>
      <w:tr w:rsidR="001F0763" w:rsidRPr="0054322B" w14:paraId="56C8FD17"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BBB4D" w14:textId="77777777" w:rsidR="001F0763" w:rsidRPr="0054322B" w:rsidRDefault="001F0763" w:rsidP="008E7422">
            <w:pPr>
              <w:textAlignment w:val="baseline"/>
              <w:rPr>
                <w:rFonts w:ascii="Times New Roman" w:eastAsia="Times New Roman" w:hAnsi="Times New Roman" w:cs="Times New Roman"/>
                <w:szCs w:val="24"/>
                <w:lang w:eastAsia="fr-CA"/>
              </w:rPr>
            </w:pPr>
            <w:proofErr w:type="gramStart"/>
            <w:r w:rsidRPr="0054322B">
              <w:rPr>
                <w:rFonts w:eastAsia="Times New Roman" w:cs="Arial"/>
                <w:szCs w:val="24"/>
                <w:lang w:eastAsia="fr-CA"/>
              </w:rPr>
              <w:t>individuel</w:t>
            </w:r>
            <w:proofErr w:type="gramEnd"/>
            <w:r w:rsidRPr="0054322B">
              <w:rPr>
                <w:rFonts w:eastAsia="Times New Roman" w:cs="Arial"/>
                <w:szCs w:val="24"/>
                <w:lang w:eastAsia="fr-CA"/>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D4626" w14:textId="56CF1111"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4</w:t>
            </w:r>
            <w:r w:rsidR="00CA3DBA" w:rsidRPr="00CA3DBA">
              <w:rPr>
                <w:rFonts w:eastAsia="Times New Roman" w:cs="Arial"/>
                <w:color w:val="FF0000"/>
                <w:szCs w:val="24"/>
                <w:lang w:eastAsia="fr-CA"/>
              </w:rPr>
              <w:t>1</w:t>
            </w:r>
            <w:r w:rsidRPr="00CA3DBA">
              <w:rPr>
                <w:rFonts w:eastAsia="Times New Roman" w:cs="Arial"/>
                <w:color w:val="FF0000"/>
                <w:szCs w:val="24"/>
                <w:lang w:eastAsia="fr-CA"/>
              </w:rPr>
              <w:t>,64 $  </w:t>
            </w:r>
          </w:p>
        </w:tc>
      </w:tr>
      <w:tr w:rsidR="001F0763" w:rsidRPr="0054322B" w14:paraId="21D86D3A"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23AA9"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Familial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16766" w14:textId="735D4A6B" w:rsidR="001F0763" w:rsidRPr="00CA3DBA" w:rsidRDefault="001F0763" w:rsidP="008E7422">
            <w:pPr>
              <w:textAlignment w:val="baseline"/>
              <w:rPr>
                <w:rFonts w:ascii="Times New Roman" w:eastAsia="Times New Roman" w:hAnsi="Times New Roman" w:cs="Times New Roman"/>
                <w:color w:val="FF0000"/>
                <w:szCs w:val="24"/>
                <w:lang w:eastAsia="fr-CA"/>
              </w:rPr>
            </w:pPr>
            <w:r w:rsidRPr="00CA3DBA">
              <w:rPr>
                <w:rFonts w:eastAsia="Times New Roman" w:cs="Arial"/>
                <w:color w:val="FF0000"/>
                <w:szCs w:val="24"/>
                <w:lang w:eastAsia="fr-CA"/>
              </w:rPr>
              <w:t>5</w:t>
            </w:r>
            <w:r w:rsidR="00CA3DBA" w:rsidRPr="00CA3DBA">
              <w:rPr>
                <w:rFonts w:eastAsia="Times New Roman" w:cs="Arial"/>
                <w:color w:val="FF0000"/>
                <w:szCs w:val="24"/>
                <w:lang w:eastAsia="fr-CA"/>
              </w:rPr>
              <w:t>2</w:t>
            </w:r>
            <w:r w:rsidRPr="00CA3DBA">
              <w:rPr>
                <w:rFonts w:eastAsia="Times New Roman" w:cs="Arial"/>
                <w:color w:val="FF0000"/>
                <w:szCs w:val="24"/>
                <w:lang w:eastAsia="fr-CA"/>
              </w:rPr>
              <w:t>,64 $ </w:t>
            </w:r>
          </w:p>
        </w:tc>
      </w:tr>
      <w:tr w:rsidR="001F0763" w:rsidRPr="0054322B" w14:paraId="508CAE58" w14:textId="77777777" w:rsidTr="008E7422">
        <w:trPr>
          <w:trHeight w:val="315"/>
        </w:trPr>
        <w:tc>
          <w:tcPr>
            <w:tcW w:w="463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06E31441" w14:textId="77777777" w:rsidR="001F0763" w:rsidRPr="0054322B" w:rsidRDefault="001F0763" w:rsidP="008E7422">
            <w:pPr>
              <w:jc w:val="cente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Choix 3  </w:t>
            </w:r>
          </w:p>
        </w:tc>
      </w:tr>
      <w:tr w:rsidR="001F0763" w:rsidRPr="0054322B" w14:paraId="03878ACE"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950AB"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Individuel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87CC6" w14:textId="6DE168ED" w:rsidR="001F0763" w:rsidRPr="0054322B" w:rsidRDefault="001F0763" w:rsidP="008E7422">
            <w:pPr>
              <w:textAlignment w:val="baseline"/>
              <w:rPr>
                <w:rFonts w:ascii="Times New Roman" w:eastAsia="Times New Roman" w:hAnsi="Times New Roman" w:cs="Times New Roman"/>
                <w:szCs w:val="24"/>
                <w:lang w:eastAsia="fr-CA"/>
              </w:rPr>
            </w:pPr>
            <w:r w:rsidRPr="00CA3DBA">
              <w:rPr>
                <w:rFonts w:eastAsia="Times New Roman" w:cs="Arial"/>
                <w:color w:val="FF0000"/>
                <w:szCs w:val="24"/>
                <w:lang w:eastAsia="fr-CA"/>
              </w:rPr>
              <w:t>6</w:t>
            </w:r>
            <w:r w:rsidR="00CA3DBA" w:rsidRPr="00CA3DBA">
              <w:rPr>
                <w:rFonts w:eastAsia="Times New Roman" w:cs="Arial"/>
                <w:color w:val="FF0000"/>
                <w:szCs w:val="24"/>
                <w:lang w:eastAsia="fr-CA"/>
              </w:rPr>
              <w:t>3</w:t>
            </w:r>
            <w:r w:rsidRPr="00CA3DBA">
              <w:rPr>
                <w:rFonts w:eastAsia="Times New Roman" w:cs="Arial"/>
                <w:color w:val="FF0000"/>
                <w:szCs w:val="24"/>
                <w:lang w:eastAsia="fr-CA"/>
              </w:rPr>
              <w:t>,96 $</w:t>
            </w:r>
            <w:r w:rsidRPr="0054322B">
              <w:rPr>
                <w:rFonts w:eastAsia="Times New Roman" w:cs="Arial"/>
                <w:szCs w:val="24"/>
                <w:lang w:eastAsia="fr-CA"/>
              </w:rPr>
              <w:t>  </w:t>
            </w:r>
          </w:p>
        </w:tc>
      </w:tr>
      <w:tr w:rsidR="001F0763" w:rsidRPr="0054322B" w14:paraId="005AD999" w14:textId="77777777" w:rsidTr="008E7422">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4B045" w14:textId="77777777" w:rsidR="001F0763" w:rsidRPr="0054322B" w:rsidRDefault="001F0763" w:rsidP="008E7422">
            <w:pPr>
              <w:textAlignment w:val="baseline"/>
              <w:rPr>
                <w:rFonts w:ascii="Times New Roman" w:eastAsia="Times New Roman" w:hAnsi="Times New Roman" w:cs="Times New Roman"/>
                <w:szCs w:val="24"/>
                <w:lang w:eastAsia="fr-CA"/>
              </w:rPr>
            </w:pPr>
            <w:r w:rsidRPr="0054322B">
              <w:rPr>
                <w:rFonts w:eastAsia="Times New Roman" w:cs="Arial"/>
                <w:szCs w:val="24"/>
                <w:lang w:eastAsia="fr-CA"/>
              </w:rPr>
              <w:t>Familial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AF9B8" w14:textId="73EB3C22" w:rsidR="001F0763" w:rsidRPr="0054322B" w:rsidRDefault="001F0763" w:rsidP="008E7422">
            <w:pPr>
              <w:textAlignment w:val="baseline"/>
              <w:rPr>
                <w:rFonts w:ascii="Times New Roman" w:eastAsia="Times New Roman" w:hAnsi="Times New Roman" w:cs="Times New Roman"/>
                <w:szCs w:val="24"/>
                <w:lang w:eastAsia="fr-CA"/>
              </w:rPr>
            </w:pPr>
            <w:r w:rsidRPr="00CA3DBA">
              <w:rPr>
                <w:rFonts w:eastAsia="Times New Roman" w:cs="Arial"/>
                <w:color w:val="FF0000"/>
                <w:szCs w:val="24"/>
                <w:lang w:eastAsia="fr-CA"/>
              </w:rPr>
              <w:t>7</w:t>
            </w:r>
            <w:r w:rsidR="00CA3DBA" w:rsidRPr="00CA3DBA">
              <w:rPr>
                <w:rFonts w:eastAsia="Times New Roman" w:cs="Arial"/>
                <w:color w:val="FF0000"/>
                <w:szCs w:val="24"/>
                <w:lang w:eastAsia="fr-CA"/>
              </w:rPr>
              <w:t>4</w:t>
            </w:r>
            <w:r w:rsidRPr="00CA3DBA">
              <w:rPr>
                <w:rFonts w:eastAsia="Times New Roman" w:cs="Arial"/>
                <w:color w:val="FF0000"/>
                <w:szCs w:val="24"/>
                <w:lang w:eastAsia="fr-CA"/>
              </w:rPr>
              <w:t>,96 $</w:t>
            </w:r>
            <w:r w:rsidRPr="0054322B">
              <w:rPr>
                <w:rFonts w:eastAsia="Times New Roman" w:cs="Arial"/>
                <w:szCs w:val="24"/>
                <w:lang w:eastAsia="fr-CA"/>
              </w:rPr>
              <w:t>  </w:t>
            </w:r>
          </w:p>
        </w:tc>
      </w:tr>
    </w:tbl>
    <w:p w14:paraId="6EB164F5" w14:textId="20206D83" w:rsidR="00307C19" w:rsidRPr="001F0763" w:rsidRDefault="001F0763" w:rsidP="001F0763">
      <w:pPr>
        <w:textAlignment w:val="baseline"/>
        <w:rPr>
          <w:rFonts w:ascii="Segoe UI" w:eastAsia="Times New Roman" w:hAnsi="Segoe UI" w:cs="Segoe UI"/>
          <w:sz w:val="18"/>
          <w:szCs w:val="18"/>
          <w:lang w:eastAsia="fr-CA"/>
        </w:rPr>
      </w:pPr>
      <w:r w:rsidRPr="0054322B">
        <w:rPr>
          <w:rFonts w:eastAsia="Times New Roman" w:cs="Arial"/>
          <w:sz w:val="18"/>
          <w:szCs w:val="18"/>
          <w:lang w:eastAsia="fr-CA"/>
        </w:rPr>
        <w:t>La taxe de vente de 9% doit être ajoutée à ces montants  </w:t>
      </w:r>
    </w:p>
    <w:sectPr w:rsidR="00307C19" w:rsidRPr="001F07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63"/>
    <w:rsid w:val="001F0763"/>
    <w:rsid w:val="00307C19"/>
    <w:rsid w:val="008F622D"/>
    <w:rsid w:val="00CA3DBA"/>
    <w:rsid w:val="00EF4D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5D3"/>
  <w15:chartTrackingRefBased/>
  <w15:docId w15:val="{13573644-1378-4F15-882F-AF9646E3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63"/>
    <w:pPr>
      <w:spacing w:after="0" w:line="240" w:lineRule="auto"/>
      <w:jc w:val="both"/>
    </w:pPr>
    <w:rPr>
      <w:rFonts w:ascii="Arial" w:hAnsi="Arial"/>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Freire</dc:creator>
  <cp:keywords/>
  <dc:description/>
  <cp:lastModifiedBy>Johanne Freire</cp:lastModifiedBy>
  <cp:revision>3</cp:revision>
  <dcterms:created xsi:type="dcterms:W3CDTF">2023-11-10T16:27:00Z</dcterms:created>
  <dcterms:modified xsi:type="dcterms:W3CDTF">2023-11-10T16:27:00Z</dcterms:modified>
</cp:coreProperties>
</file>